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left="5669" w:right="0"/>
        <w:jc w:val="left"/>
        <w:rPr>
          <w:rFonts w:ascii="Times New Roman" w:hAnsi="Times New Roman" w:eastAsia="Times New Roman" w:cs="Times New Roman"/>
          <w:b/>
          <w:i/>
          <w:sz w:val="20"/>
          <w:u w:val="thick"/>
        </w:rPr>
      </w:pPr>
      <w:r>
        <w:rPr>
          <w:rFonts w:eastAsia="Times New Roman" w:cs="Times New Roman"/>
          <w:b/>
          <w:i/>
          <w:sz w:val="20"/>
          <w:u w:val="thick"/>
        </w:rPr>
        <w:t>Projekt</w:t>
      </w:r>
    </w:p>
    <w:p>
      <w:pPr>
        <w:pStyle w:val="Normal"/>
        <w:spacing w:before="0" w:after="0"/>
        <w:ind w:left="5669" w:right="0"/>
        <w:jc w:val="left"/>
        <w:rPr>
          <w:rFonts w:ascii="Times New Roman" w:hAnsi="Times New Roman" w:eastAsia="Times New Roman" w:cs="Times New Roman"/>
          <w:b/>
          <w:i/>
          <w:sz w:val="20"/>
          <w:u w:val="thick"/>
        </w:rPr>
      </w:pPr>
      <w:r>
        <w:rPr>
          <w:rFonts w:eastAsia="Times New Roman" w:cs="Times New Roman"/>
          <w:b/>
          <w:i/>
          <w:sz w:val="20"/>
          <w:u w:val="thick"/>
        </w:rPr>
      </w:r>
    </w:p>
    <w:p>
      <w:pPr>
        <w:pStyle w:val="Normal"/>
        <w:spacing w:before="0" w:after="0"/>
        <w:ind w:left="5669" w:right="0"/>
        <w:jc w:val="left"/>
        <w:rPr>
          <w:rFonts w:ascii="Times New Roman" w:hAnsi="Times New Roman" w:eastAsia="Times New Roman" w:cs="Times New Roman"/>
          <w:b w:val="false"/>
          <w:i w:val="false"/>
          <w:sz w:val="20"/>
          <w:u w:val="none"/>
        </w:rPr>
      </w:pPr>
      <w:r>
        <w:rPr>
          <w:rFonts w:eastAsia="Times New Roman" w:cs="Times New Roman"/>
          <w:b w:val="false"/>
          <w:i w:val="false"/>
          <w:sz w:val="20"/>
          <w:u w:val="none"/>
        </w:rPr>
        <w:t>z dnia  20 października 2026 r.</w:t>
      </w:r>
    </w:p>
    <w:p>
      <w:pPr>
        <w:pStyle w:val="Normal"/>
        <w:spacing w:before="0" w:after="0"/>
        <w:ind w:left="5669" w:right="0"/>
        <w:jc w:val="left"/>
        <w:rPr>
          <w:rFonts w:ascii="Times New Roman" w:hAnsi="Times New Roman" w:eastAsia="Times New Roman" w:cs="Times New Roman"/>
          <w:b w:val="false"/>
          <w:i w:val="false"/>
          <w:sz w:val="20"/>
          <w:u w:val="none"/>
        </w:rPr>
      </w:pPr>
      <w:r>
        <w:rPr>
          <w:rFonts w:eastAsia="Times New Roman" w:cs="Times New Roman"/>
          <w:b w:val="false"/>
          <w:i w:val="false"/>
          <w:sz w:val="20"/>
          <w:u w:val="none"/>
        </w:rPr>
        <w:t>Zatwierdzony przez .........................</w:t>
      </w:r>
    </w:p>
    <w:p>
      <w:pPr>
        <w:pStyle w:val="Normal"/>
        <w:spacing w:before="0" w:after="0"/>
        <w:ind w:left="5669" w:right="0"/>
        <w:jc w:val="left"/>
        <w:rPr>
          <w:rFonts w:ascii="Times New Roman" w:hAnsi="Times New Roman" w:eastAsia="Times New Roman" w:cs="Times New Roman"/>
          <w:b w:val="false"/>
          <w:i w:val="false"/>
          <w:sz w:val="20"/>
          <w:u w:val="none"/>
        </w:rPr>
      </w:pPr>
      <w:r>
        <w:rPr>
          <w:rFonts w:eastAsia="Times New Roman" w:cs="Times New Roman"/>
          <w:b w:val="false"/>
          <w:i w:val="false"/>
          <w:sz w:val="20"/>
          <w:u w:val="none"/>
        </w:rPr>
      </w:r>
    </w:p>
    <w:p>
      <w:pPr>
        <w:pStyle w:val="Normal"/>
        <w:spacing w:before="0" w:after="0"/>
        <w:ind w:left="5669" w:right="0"/>
        <w:jc w:val="left"/>
        <w:rPr>
          <w:rFonts w:ascii="Times New Roman" w:hAnsi="Times New Roman" w:eastAsia="Times New Roman" w:cs="Times New Roman"/>
          <w:b w:val="false"/>
          <w:i w:val="false"/>
          <w:sz w:val="20"/>
          <w:u w:val="none"/>
        </w:rPr>
      </w:pPr>
      <w:r>
        <w:rPr>
          <w:rFonts w:eastAsia="Times New Roman" w:cs="Times New Roman"/>
          <w:b w:val="false"/>
          <w:i w:val="false"/>
          <w:sz w:val="20"/>
          <w:u w:val="none"/>
        </w:rPr>
      </w:r>
    </w:p>
    <w:p>
      <w:pPr>
        <w:pStyle w:val="Normal"/>
        <w:spacing w:lineRule="auto" w:line="240" w:before="0" w:after="0"/>
        <w:ind w:left="0" w:right="0"/>
        <w:jc w:val="center"/>
        <w:rPr>
          <w:rFonts w:ascii="Times New Roman" w:hAnsi="Times New Roman" w:eastAsia="Times New Roman" w:cs="Times New Roman"/>
          <w:b/>
          <w:i w:val="false"/>
          <w:caps/>
          <w:sz w:val="22"/>
          <w:u w:val="none"/>
        </w:rPr>
      </w:pPr>
      <w:r>
        <w:rPr>
          <w:rFonts w:eastAsia="Times New Roman" w:cs="Times New Roman"/>
          <w:b/>
          <w:i w:val="false"/>
          <w:caps/>
          <w:sz w:val="22"/>
          <w:u w:val="none"/>
        </w:rPr>
        <w:t>Uchwała Nr ....................</w:t>
        <w:br/>
        <w:t>Rady Gminy Kostomłoty</w:t>
      </w:r>
    </w:p>
    <w:p>
      <w:pPr>
        <w:pStyle w:val="Normal"/>
        <w:spacing w:lineRule="auto" w:line="240" w:before="280" w:after="280"/>
        <w:ind w:left="0" w:right="0"/>
        <w:jc w:val="center"/>
        <w:rPr>
          <w:rFonts w:ascii="Times New Roman" w:hAnsi="Times New Roman" w:eastAsia="Times New Roman" w:cs="Times New Roman"/>
          <w:b/>
          <w:i w:val="false"/>
          <w:caps/>
          <w:sz w:val="22"/>
          <w:u w:val="none"/>
        </w:rPr>
      </w:pPr>
      <w:r>
        <w:rPr>
          <w:rFonts w:eastAsia="Times New Roman" w:cs="Times New Roman"/>
          <w:b w:val="false"/>
          <w:caps w:val="false"/>
          <w:smallCaps w:val="false"/>
          <w:sz w:val="22"/>
        </w:rPr>
        <w:t>z dnia 20 października 2026 r.</w:t>
      </w:r>
    </w:p>
    <w:p>
      <w:pPr>
        <w:pStyle w:val="Normal"/>
        <w:keepNext w:val="true"/>
        <w:spacing w:lineRule="auto" w:line="240" w:before="0" w:after="480"/>
        <w:ind w:hanging="0" w:left="0" w:right="0"/>
        <w:jc w:val="center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sz w:val="22"/>
          <w:u w:val="none"/>
        </w:rPr>
      </w:pPr>
      <w:r>
        <w:rPr>
          <w:rFonts w:eastAsia="Times New Roman" w:cs="Times New Roman"/>
          <w:b/>
          <w:i w:val="false"/>
          <w:caps w:val="false"/>
          <w:smallCaps w:val="false"/>
          <w:sz w:val="22"/>
          <w:u w:val="none"/>
        </w:rPr>
        <w:t>w sprawie przyjęcia Programu współpracy Gminy Kostomłoty z organizacjami pozarządowymi oraz podmiotami wymienionymi w art. 3 ust. 3 ustawy o działalności pożytku publicznego i o wolontariacie na rok 2027</w:t>
      </w:r>
    </w:p>
    <w:p>
      <w:pPr>
        <w:pStyle w:val="Normal"/>
        <w:keepNext w:val="false"/>
        <w:keepLines/>
        <w:spacing w:lineRule="auto" w:line="240" w:before="120" w:after="120"/>
        <w:ind w:firstLine="227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sz w:val="22"/>
          <w:u w:val="no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sz w:val="22"/>
          <w:u w:val="none"/>
        </w:rPr>
        <w:t>Na podstawie art. 18 ust. 2 pkt 15 ustawy z dnia 8 marca 1990 r. o samorządzie gminnym (t.j. Dz. U. z 2026 r. poz.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sz w:val="22"/>
          <w:u w:val="none"/>
        </w:rPr>
        <w:t xml:space="preserve">662 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sz w:val="22"/>
          <w:u w:val="none"/>
        </w:rPr>
        <w:t>z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sz w:val="22"/>
          <w:u w:val="none"/>
        </w:rPr>
        <w:t xml:space="preserve">e 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sz w:val="22"/>
          <w:u w:val="none"/>
        </w:rPr>
        <w:t>zm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sz w:val="22"/>
          <w:u w:val="none"/>
        </w:rPr>
        <w:t>ianami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sz w:val="22"/>
          <w:u w:val="none"/>
        </w:rPr>
        <w:t>) oraz art. 5a ust. 1 ustawy z dnia 24 kwietnia 2003 r. o działalności pożytku publicznego i o wolontariacie (t.j. Dz. U. z 202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sz w:val="22"/>
          <w:u w:val="none"/>
        </w:rPr>
        <w:t>5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sz w:val="22"/>
          <w:u w:val="none"/>
        </w:rPr>
        <w:t> r. poz.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sz w:val="22"/>
          <w:u w:val="none"/>
        </w:rPr>
        <w:t xml:space="preserve">1338 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sz w:val="22"/>
          <w:u w:val="none"/>
        </w:rPr>
        <w:t> z późn. zm.), Rada Gminy Kostomłoty uchwala, co następuje: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sz w:val="22"/>
          <w:u w:val="none"/>
        </w:rPr>
      </w:pPr>
      <w:r>
        <w:rPr>
          <w:rFonts w:eastAsia="Times New Roman" w:cs="Times New Roman"/>
          <w:b/>
          <w:sz w:val="22"/>
        </w:rPr>
        <w:t>§ 1.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sz w:val="22"/>
          <w:u w:val="none"/>
        </w:rPr>
        <w:t>Przyjmuje się Program współpracy Gminy Kostomłoty z organizacjami pozarządowymi oraz podmiotami wymienionymi w art. 3 ust. 3 ustawy o działalności pożytku publicznego i o wolontariacie na rok 2027, stanowiący załącznik do niniejszej uchwały.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sz w:val="22"/>
          <w:u w:val="none"/>
        </w:rPr>
      </w:pPr>
      <w:r>
        <w:rPr>
          <w:rFonts w:eastAsia="Times New Roman" w:cs="Times New Roman"/>
          <w:b/>
          <w:sz w:val="22"/>
        </w:rPr>
        <w:t>§ 2.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sz w:val="22"/>
          <w:u w:val="none"/>
        </w:rPr>
        <w:t>Wykonanie uchwały powierza się Wójtowi Gminy Kostomłoty.</w:t>
      </w:r>
    </w:p>
    <w:p>
      <w:pPr>
        <w:pStyle w:val="Normal"/>
        <w:keepNext w:val="tru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sz w:val="22"/>
          <w:u w:val="none"/>
        </w:rPr>
      </w:pPr>
      <w:r>
        <w:rPr>
          <w:rFonts w:eastAsia="Times New Roman" w:cs="Times New Roman"/>
          <w:b/>
          <w:sz w:val="22"/>
        </w:rPr>
        <w:t>§ 3.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sz w:val="22"/>
          <w:u w:val="none"/>
        </w:rPr>
        <w:t>Uchwała wchodzi w życie z dniem 1 stycznia 2027 r.</w:t>
      </w:r>
    </w:p>
    <w:p>
      <w:pPr>
        <w:pStyle w:val="Normal"/>
        <w:keepNext w:val="tru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sz w:val="22"/>
          <w:u w:val="no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sz w:val="22"/>
          <w:u w:val="none"/>
        </w:rPr>
      </w:r>
    </w:p>
    <w:p>
      <w:pPr>
        <w:pStyle w:val="Normal"/>
        <w:keepNext w:val="true"/>
        <w:spacing w:before="0" w:after="0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position w:val="0"/>
          <w:sz w:val="22"/>
          <w:u w:val="none"/>
          <w:vertAlign w:val="baseline"/>
        </w:rPr>
      </w:pPr>
      <w:r>
        <w:rPr>
          <w:b w:val="false"/>
          <w:i w:val="false"/>
          <w:color w:val="000000"/>
          <w:position w:val="0"/>
          <w:sz w:val="22"/>
          <w:u w:val="none"/>
          <w:vertAlign w:val="baseline"/>
        </w:rPr>
        <w:t> 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32"/>
        <w:gridCol w:w="4934"/>
      </w:tblGrid>
      <w:tr>
        <w:trPr/>
        <w:tc>
          <w:tcPr>
            <w:tcW w:w="4932" w:type="dxa"/>
            <w:tcBorders/>
          </w:tcPr>
          <w:p>
            <w:pPr>
              <w:pStyle w:val="Normal"/>
              <w:keepNext w:val="true"/>
              <w:keepLines/>
              <w:jc w:val="left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z w:val="22"/>
                <w:szCs w:val="22"/>
              </w:rPr>
            </w:r>
          </w:p>
        </w:tc>
        <w:tc>
          <w:tcPr>
            <w:tcW w:w="4934" w:type="dxa"/>
            <w:tcBorders/>
          </w:tcPr>
          <w:p>
            <w:pPr>
              <w:pStyle w:val="Normal"/>
              <w:keepNext w:val="true"/>
              <w:keepLines/>
              <w:spacing w:before="560" w:after="560"/>
              <w:ind w:hanging="0" w:left="1134" w:right="1134"/>
              <w:jc w:val="center"/>
              <w:rPr>
                <w:rFonts w:ascii="Times New Roman" w:hAnsi="Times New Roman"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z w:val="22"/>
                <w:szCs w:val="22"/>
              </w:rPr>
            </w:pPr>
            <w:r>
              <w:rPr>
                <w:rFonts w:eastAsia="Times New Roman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z w:val="22"/>
                <w:szCs w:val="22"/>
              </w:rPr>
              <w:t>Przewodniczący Rady Gminy Kostomłoty</w:t>
              <w:br/>
              <w:br/>
              <w:br/>
            </w:r>
            <w:r>
              <w:rPr>
                <w:b/>
                <w:i w:val="false"/>
              </w:rPr>
              <w:t>Mariusz Żałobniak</w:t>
            </w:r>
          </w:p>
        </w:tc>
      </w:tr>
    </w:tbl>
    <w:p>
      <w:pPr>
        <w:sectPr>
          <w:footerReference w:type="even" r:id="rId2"/>
          <w:footerReference w:type="default" r:id="rId3"/>
          <w:footerReference w:type="first" r:id="rId4"/>
          <w:type w:val="nextPage"/>
          <w:pgSz w:w="11906" w:h="16838"/>
          <w:pgMar w:left="1020" w:right="1020" w:gutter="0" w:header="0" w:top="992" w:footer="708" w:bottom="992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360" w:before="120" w:after="120"/>
        <w:ind w:hanging="0" w:left="5681" w:right="0"/>
        <w:jc w:val="left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position w:val="0"/>
          <w:sz w:val="22"/>
          <w:u w:val="none"/>
          <w:vertAlign w:val="baseline"/>
        </w:rPr>
      </w:pPr>
      <w:r>
        <w:fldChar w:fldCharType="begin"/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position w:val="0"/>
          <w:sz w:val="22"/>
          <w:u w:val="none"/>
          <w:vertAlign w:val="baseline"/>
        </w:rPr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position w:val="0"/>
          <w:sz w:val="22"/>
          <w:u w:val="none"/>
          <w:vertAlign w:val="baseline"/>
        </w:rPr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position w:val="0"/>
          <w:sz w:val="22"/>
          <w:u w:val="none"/>
          <w:vertAlign w:val="baseline"/>
        </w:rPr>
        <w:fldChar w:fldCharType="separate"/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position w:val="0"/>
          <w:sz w:val="22"/>
          <w:u w:val="none"/>
          <w:vertAlign w:val="baseline"/>
        </w:rPr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position w:val="0"/>
          <w:sz w:val="22"/>
          <w:u w:val="none"/>
          <w:vertAlign w:val="baseline"/>
        </w:rPr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position w:val="0"/>
          <w:sz w:val="22"/>
          <w:u w:val="none"/>
          <w:vertAlign w:val="baseline"/>
        </w:rPr>
        <w:fldChar w:fldCharType="end"/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auto"/>
          <w:position w:val="0"/>
          <w:sz w:val="22"/>
          <w:u w:val="none"/>
          <w:vertAlign w:val="baseline"/>
        </w:rPr>
        <w:t>Załącznik do uchwały Nr ....................</w:t>
        <w:br/>
        <w:t>Rady Gminy Kostomłoty</w:t>
        <w:br/>
        <w:t>z dnia 20 października 2026 r.</w:t>
      </w:r>
    </w:p>
    <w:p>
      <w:pPr>
        <w:pStyle w:val="Normal"/>
        <w:keepNext w:val="false"/>
        <w:keepLines w:val="false"/>
        <w:spacing w:lineRule="auto" w:line="240" w:before="120" w:after="120"/>
        <w:ind w:firstLine="227" w:left="283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auto"/>
          <w:position w:val="0"/>
          <w:sz w:val="22"/>
          <w:u w:val="none"/>
          <w:vertAlign w:val="baseline"/>
        </w:rPr>
        <w:t>PROGRAM WSPÓŁPRACY GMINY KOSTOMŁOTY Z ORGANIZACJAMI POZARZĄDOWYMI ORAZ PODMIOTAMI WYMIENIONYMI W ART. 3 UST. 3 USTAWY O DZIAŁALNOŚCI POŻYTKU PUBLICZNEGO I O WOLONTARIACIE NA ROK 2027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b/>
          <w:sz w:val="22"/>
        </w:rPr>
        <w:t>§ 1. </w:t>
      </w: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Postanowienia ogólne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1. 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Niniejszy Program określa cele, zasady, zakres i formy współpracy Gminy Kostomłoty z organizacjami pozarządowymi oraz podmiotami prowadzącymi działalność pożytku publicznego.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2. 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Ilekroć w niniejszym Programie jest mowa o: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1. 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Ustawie – oznacza to ustawę z dnia 24 kwietnia 2003 r. o działalności pożytku publicznego i o wolontariacie;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2. 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Gminie – oznacza to Gminę Kostomłoty;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3. 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Wójcie – oznacza to Wójta Gminy Kostomłoty;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4. 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Organizacjach – oznacza to organizacje pozarządowe oraz podmioty, o których mowa w art. 3 ust. 3 ustawy o działalności pożytku publicznego i o wolontariacie;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5. 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Programie – oznacza to Roczny program współpracy Gminy Kostomłoty z organizacjami pozarządowymi oraz innymi podmiotami prowadzącymi działalność pożytku publicznego na rok 2027;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6. 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GOK – oznacza to Gminny Ośrodek Kultury w Kostomłotach.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3. 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Współpraca, o której mowa w Programie, dotyczy realizacji zadań publicznych Gminy przez Organizacje prowadzące działalność statutową w danej dziedzinie.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b/>
          <w:sz w:val="22"/>
        </w:rPr>
        <w:t>§ 2. </w:t>
      </w: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Cele Programu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1. 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Cel główny: Budowanie oraz umacnianie partnerskich relacji pomiędzy Gminą a Organizacjami w procesie zaspokajania zbiorowych potrzeb mieszkańców Gminy Kostomłoty oraz pełniejsze wykorzystanie potencjału społeczności lokalnej.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2. 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Cele szczegółowe: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1. 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zwiększenie efektywności realizacji zadań publicznych poprzez wykorzystanie potencjału, zasobów i doświadczenia Organizacji;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2. 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wspieranie innowacyjnych form integracji i reintegracji społeczno-zawodowej mieszkańców;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3. 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otwarcie lokalnego rynku usług na inicjatywy Organizacji oraz pobudzanie aktywności mieszkańców w życiu społecznym;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4. 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poprawa jakości życia mieszkańców poprzez rozwój i integrację lokalnych usług społecznych, opiekuńczych i asystenckich.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b/>
          <w:sz w:val="22"/>
        </w:rPr>
        <w:t>§ 3. </w:t>
      </w: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Zasady współpracy</w:t>
      </w:r>
    </w:p>
    <w:p>
      <w:pPr>
        <w:pStyle w:val="Normal"/>
        <w:keepNext w:val="false"/>
        <w:keepLines w:val="false"/>
        <w:spacing w:lineRule="auto" w:line="240" w:before="120" w:after="120"/>
        <w:ind w:firstLine="227" w:left="283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Współpraca Gminy z Organizacjami odbywa się na zasadach: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1. 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pomocniczości – Gmina powierza Organizacjom realizację zadań własnych, o ile są one w stanie wykonać je efektywnie i sprawnie;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2. 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suwerenności stron – Gmina szanuje niezależność i autonomię Organizacji, a Organizacje mają prawo do samodzielnego definiowania swoich celów statutowych;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3. 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partnerstwa – współpraca opiera się na obustronnym zaufaniu, dialogu i wspólnym wypracowywaniu optymalnych rozwiązań dla społeczności;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4. 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efektywności – dążenie do uzyskania maksymalnych efektów społecznych i optymalnego wykorzystania środków publicznych;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5. 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jawności – wszelkie procedury wyboru realizatorów zadań i przyznawania dotacji są jawne i transparentne;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6. 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uczciwej konkurencji – równe traktowanie wszystkich podmiotów ubiegających się o realizację zadań publicznych.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b/>
          <w:sz w:val="22"/>
        </w:rPr>
        <w:t>§ 4. </w:t>
      </w: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Zakres przedmiotowy i obszary priorytetowe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1. 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Zakres przedmiotowy Programu obejmuje realizację zadań publicznych Gminy przez Organizacje w obszarach określonych w art. 4 ust. 1 Ustawy, które wpisują się w strategię rozwoju Gminy.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2. 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Jako zadania priorytetowe w 2027 roku wskazuje się: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1. 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Wspieranie i upowszechnianie kultury fizycznej i sportu, w tym organizacja szkolenia sportowego, zawodów, turniejów oraz upowszechnianie aktywnego trybu życia wśród mieszkańców;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2. 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Działalność na rzecz dzieci i młodzieży, w tym wypoczynek letni i zimowy oraz zagospodarowanie czasu wolnego, z uwzględnieniem rozstrzygnięć wieloletnich dokonanych w Zarządzeniu nr 368/26 Wójta Gminy Kostomłoty z dnia 14 września 2026 r.;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3. 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Ochrona i promocja zdrowia, w tym profilaktyka uzależnień, edukacja prozdrowotna oraz wdrażanie programów polityki społeczno-zdrowotnej;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4. 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Rozwój i integracja usług społecznych, w tym w szczególności w ramach pozyskanego przez Gminę grantu zewnętrznego „Premia społeczna”:</w:t>
        <w:br/>
        <w:t>a) świadczenie usług opiekuńczych w miejscu zamieszkania mieszkańców,</w:t>
        <w:br/>
        <w:t>b) usługi specjalistyczne i asystenckie dla osób z niepełnosprawnościami i seniorów,</w:t>
        <w:br/>
        <w:t>c) działania z zakresu deinstytucjonalizacji pieczy zastępczej i wsparcia rodzin;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5. 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Kultura, sztuka, ochrona dóbr kultury i dziedzictwa narodowego, w tym organizacja imprez kulturalnych, pielęgnowanie tradycji lokalnych i rozwój ruchu artystycznego;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6. 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Działalność na rzecz osób w wieku emerytalnym, w tym aktywizacja społeczna seniorów i przeciwdziałanie wykluczeniu;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7. 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Ratownictwo i ochrona ludności, w tym wspieranie działalności i doposażenie jednostek Ochotniczych Straży Pożarnych (OSP) z terenu Gminy Kostomłoty.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b/>
          <w:sz w:val="22"/>
        </w:rPr>
        <w:t>§ 5. </w:t>
      </w: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Formy współpracy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1. </w:t>
      </w: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 xml:space="preserve"> Formy finansowe 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współpracy obejmują: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1. 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powierzanie wykonywania zadań publicznych wraz z udzieleniem dotacji na finansowanie ich realizacji w 100% (w tym realizacja instrumentu „Premia społeczna”);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2. 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wspieranie wykonywania zadań publicznych wraz z udzieleniem dotacji na dofinansowanie ich realizacji (wymagany wkład własny Organizacji).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2. </w:t>
      </w: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 Formy niefinansowe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 xml:space="preserve"> współpracy obejmują: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1. 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wzajemne informowanie się o planowanych kierunkach działalności i realizowanych zadaniach;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2. 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konsultowanie z Organizacjami projektów aktów prawa miejscowego w dziedzinach dotyczących ich działalności statutowej;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3. 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użyczanie lub wynajmowanie na preferencyjnych warunkach lokali, świetlic, obiektów sportowych i mienia Gminy na realizację zadań statutowych;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4. 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prowadzenie wspólnych projektów informacyjnych i promocyjnych, a także obejmowanie wydarzeń patronatem Wójta;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5. 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organizowanie spotkań, doradztwa merytorycznego i szkoleń dla przedstawicieli Organizacji.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b/>
          <w:sz w:val="22"/>
        </w:rPr>
        <w:t>§ 6. </w:t>
      </w: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Sposób realizacji programu oraz zasady przyznawania dotacji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1. 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Zlecanie zadań publicznych w ramach Programu następuje na zasadach określonych w Ustawie, poprzez ogłaszanie otwartych konkursów ofert, chyba że przepisy odrębne (w tym tryb uproszczony z art. 19a Ustawy - tzw. małe granty) przewidują inny tryb.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2. 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Procedury konkursowe na realizację zadań publicznych mogą być ogłaszane jako zadania wieloletnie, z możliwością zawarcia umów na okres przekraczający rok budżetowy (do 2029 roku), zgodnie z art. 11 ust. 2 Ustawy.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3. 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Za wzorzec proceduralny w zakresie wyboru realizatorów, oceny ofert, kontroli i podziału środków przyjmuje się przepisy Ustawy oraz dotychczasowe, wypracowane przez lata dobre praktyki Gminy Kostomłoty.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4. 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Szczegółowe warunki realizacji, kontroli, standardów świadczenia usług oraz rozliczania zadań publicznych określają umowy zawierane pomiędzy Gminą a wyłonionymi w droze konkursu Organizacjami.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5. 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Dopuszcza się realizację zadań wieloletnich w formie powierzenia, do których realizator został wyłoniony w otwartym konkursie ofert rozstrzygniętym z zastrzeżeniem klauzuli warunkowej w 2026 roku, po ostatecznym podpisaniu przez Gminę umowy o dofinansowanie projektu zewnętrznego. Gmina może powierzyć koordynację, rozliczanie i nadzór nad realizacją tego zadania Gminnemu Ośrodkowi Kultury w Kostomłotach na podstawie odrębnego porozumienia.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b/>
          <w:sz w:val="22"/>
        </w:rPr>
        <w:t>§ 7. </w:t>
      </w: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Wysokość środków przeznaczonych na realizację Programu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1. 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Planowana wysokość środków finansowych z budżetu Gminy Kostomłoty przeznaczonych na realizację zadań publicznych objętych Programem (wzorem lat ubiegłych dla zadań rocznych) wynosi 100 000,00 zł.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2. 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Środki budżetowe dystrybuowane w ramach Programu ulegają zwiększeniu o wartość pozyskanych przez Gminę funduszy zewnętrznych, unijnych, celowych oraz grantów celowych.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3. 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Niezależnie od kwoty, o której mowa w ust. 1, finansowanie wieloletniego zadania z obszaru usług społecznych w ramach projektu „Premia społeczna” planuje się do łącznej kwoty 700 000,00 zł w całym okresie realizacji (2027–2029), z czego kwota 665 000,00 zł pochodzić będzie z pozyskanego przez Gminę zewnętrznego grantu, a kwota 35 000,00 zł stanowi wymagany wkład własny Gminy Kostomłoty.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4. 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Środki finansowe, o których mowa w ust. 3, wprowadzane będą do budżetu oraz Wieloletniej Prognozie Finansowej Gminy Kostomłoty sukcesywnie, zgodnie z podpisaną umową grantową i harmonogramem projektu, i nie pomniejszają puli środków przeznaczonych na realizację pozostałych zadań priorytetowych określonych w ust. 1.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b/>
          <w:sz w:val="22"/>
        </w:rPr>
        <w:t>§ 8. </w:t>
      </w: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Sposób oceny realizacji Programu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1. 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Wójt dokonuje bieżącego monitoringu i oceny realizacji Programu na podstawie wskaźników ilościowych i jakościowe obejmujących: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1. 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liczbę ogłoszonych otwartych konkursów ofert;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2. 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liczbę złożonych ofert w poszczególnych obszarach priorytetowych;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3. 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liczbę zawartych umów (z wyszczególnieniem umów rocznych i wieloletnich) oraz liczbę podmiotów realizujących zadania;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4. 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liczbę beneficjentów (mieszkańców Gminy), którzy skorzystali bezpośrednio ze zrealizowanych zadań;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5. 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wielkość środków finansowych wydatkowanych z budżetu Gminy oraz ze źródeł zewnętrznych na realizację zadań przez Organizacje.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2. 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Informacje uzyskane z monitoringu służą do oceny efektywności Programu i są uwzględniane przy konstruowaniu programów na lata kolejne.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3. 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Sprawozdanie z realizacji Programu Wójt przedkłada Radzie Gminy Kostomłoty w terminie do 31 maja roku następującego po roku budżetowym i publikuje je w BIP.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b/>
          <w:sz w:val="22"/>
        </w:rPr>
        <w:t>§ 9. </w:t>
      </w: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Sposób tworzenia Programu i przebieg konsultacji społecznych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1. 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Projekt Programu przygotowywany jest przez właściwe komórki organizacyjne Urzędu Gminy Kostomłoty we współpracy z Organizacjami.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2. 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Projekt Programu poddawany jest konsultacjom społecznym z Organizacjami w trybie i na zasadach określonych właściwą uchwałą Rady Gminy Kostomłoty dotyczącą szczegółowego sposobu konsultowania projektów aktów prawa miejscowego.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3. 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Ogłoszenie o konsultacjach wraz z projektem Programu zamieszcza się w Biuletynie Informacji Publicznej (BIP), na oficjalnej stronie internetowej Gminy oraz na tablicy ogłoszeń Urzędu Gminy, umożliwiając Organizacjom zgłaszanie uwag w wyznaczonym terminie.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b/>
          <w:sz w:val="22"/>
        </w:rPr>
        <w:t>§ 10. </w:t>
      </w: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Tryb powoływania i zasady działania komisji konkursowych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1. 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W celu opiniowania ofert składanych w otwartych konkursach ofert Wójt powołuje w drodze zarządzenia komisje konkursowe.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2. 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Skład komisji konkursowych, ich regulamin pracy oraz szczegółowe kryteria oceny ofert określa każdorazowo zarządzenie Wójta, z zachowaniem wymogów art. 15 Ustawy.</w:t>
      </w:r>
    </w:p>
    <w:p>
      <w:pPr>
        <w:pStyle w:val="Normal"/>
        <w:keepNext w:val="false"/>
        <w:keepLines/>
        <w:spacing w:lineRule="auto" w:line="240" w:before="120" w:after="120"/>
        <w:ind w:firstLine="340" w:left="0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</w:pPr>
      <w:r>
        <w:rPr>
          <w:rFonts w:eastAsia="Times New Roman" w:cs="Times New Roman"/>
          <w:sz w:val="22"/>
        </w:rPr>
        <w:t>3. </w:t>
      </w: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W skład komisji konkursowych wchodzą przedstawiciele Wójta oraz osoby wskazane przez Organizacje, z wyłączeniem osób reprezentujących podmioty biorące udział w danym konkursie ofert.</w:t>
      </w:r>
    </w:p>
    <w:p>
      <w:pPr>
        <w:pStyle w:val="Normal"/>
        <w:keepNext w:val="false"/>
        <w:keepLines w:val="false"/>
        <w:spacing w:lineRule="auto" w:line="240" w:before="120" w:after="120"/>
        <w:ind w:firstLine="227" w:left="283" w:right="0"/>
        <w:jc w:val="both"/>
        <w:rPr>
          <w:rFonts w:ascii="Times New Roman" w:hAnsi="Times New Roman"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sectPr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020" w:right="1020" w:gutter="0" w:header="0" w:top="992" w:footer="708" w:bottom="992"/>
          <w:pgNumType w:start="1" w:fmt="decimal"/>
          <w:formProt w:val="false"/>
          <w:textDirection w:val="lrTb"/>
          <w:docGrid w:type="default" w:linePitch="360" w:charSpace="0"/>
        </w:sectPr>
      </w:pPr>
      <w:r>
        <w:rPr>
          <w:rFonts w:eastAsia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u w:val="none" w:color="000000"/>
          <w:vertAlign w:val="baseline"/>
        </w:rPr>
        <w:t>Udział w pracach komisji konkursowej jest nieodpłatny, a jej członkowie przed przystąpieniem do oceny ofert składają oświadczenie o bezstronności.</w:t>
      </w:r>
    </w:p>
    <w:p>
      <w:pPr>
        <w:pStyle w:val="Normal"/>
        <w:keepNext w:val="false"/>
        <w:keepLines w:val="false"/>
        <w:widowControl/>
        <w:suppressLineNumbers w:val="0"/>
        <w:shd w:val="clear" w:color="auto" w:fill="auto"/>
        <w:suppressAutoHyphens w:val="false"/>
        <w:spacing w:lineRule="auto" w:line="240" w:beforeAutospacing="0" w:before="0" w:afterAutospacing="0" w:after="0"/>
        <w:ind w:hanging="0" w:left="0" w:right="0"/>
        <w:rPr>
          <w:szCs w:val="20"/>
        </w:rPr>
      </w:pPr>
      <w:r>
        <w:rPr>
          <w:szCs w:val="20"/>
        </w:rPr>
      </w:r>
    </w:p>
    <w:p>
      <w:pPr>
        <w:pStyle w:val="Normal"/>
        <w:keepNext w:val="false"/>
        <w:keepLines w:val="false"/>
        <w:widowControl/>
        <w:suppressLineNumbers w:val="0"/>
        <w:shd w:val="clear" w:color="auto" w:fill="auto"/>
        <w:suppressAutoHyphens w:val="false"/>
        <w:spacing w:lineRule="auto" w:line="240" w:beforeAutospacing="0" w:before="0" w:afterAutospacing="0" w:after="0"/>
        <w:ind w:hanging="0" w:left="0" w:right="0"/>
        <w:jc w:val="center"/>
        <w:rPr>
          <w:szCs w:val="20"/>
        </w:rPr>
      </w:pPr>
      <w:r>
        <w:rPr>
          <w:b/>
          <w:szCs w:val="20"/>
        </w:rPr>
        <w:t>Uzasadnienie</w:t>
      </w:r>
    </w:p>
    <w:p>
      <w:pPr>
        <w:pStyle w:val="Normal"/>
        <w:keepNext w:val="false"/>
        <w:keepLines w:val="false"/>
        <w:widowControl/>
        <w:suppressLineNumbers w:val="0"/>
        <w:shd w:val="clear" w:color="auto" w:fill="auto"/>
        <w:suppressAutoHyphens w:val="false"/>
        <w:spacing w:lineRule="auto" w:line="240" w:beforeAutospacing="0" w:before="120" w:afterAutospacing="0" w:after="120"/>
        <w:ind w:firstLine="227" w:left="283" w:right="0"/>
        <w:rPr>
          <w:szCs w:val="20"/>
        </w:rPr>
      </w:pPr>
      <w:r>
        <w:rPr>
          <w:szCs w:val="20"/>
        </w:rPr>
        <w:t>Podjęcie uchwały w sprawie rocznego programu współpracy z organizacjami pozarządowymi oraz podmiotami wymienionymi w art. 3 ust. 3 ustawy o działalności pożytku publicznego i o wolontariacie stanowi wykonanie ustawowego obowiązku nałożonego na samorząd gminny przez art. 5a ust. 1 wyżej wymienionej ustawy.</w:t>
      </w:r>
    </w:p>
    <w:p>
      <w:pPr>
        <w:pStyle w:val="Normal"/>
        <w:keepNext w:val="false"/>
        <w:keepLines w:val="false"/>
        <w:widowControl/>
        <w:suppressLineNumbers w:val="0"/>
        <w:shd w:val="clear" w:color="auto" w:fill="auto"/>
        <w:suppressAutoHyphens w:val="false"/>
        <w:spacing w:lineRule="auto" w:line="240" w:beforeAutospacing="0" w:before="120" w:afterAutospacing="0" w:after="120"/>
        <w:ind w:firstLine="227" w:left="283" w:right="0"/>
        <w:rPr>
          <w:szCs w:val="20"/>
        </w:rPr>
      </w:pPr>
      <w:r>
        <w:rPr>
          <w:szCs w:val="20"/>
        </w:rPr>
        <w:t>Przedłożony program na rok 2027 określa cele, zasady, formy oraz priorytetowe obszary współpracy Gminy Kostomłoty z sektorem pozarządowym. W celu zapewnienia ciągłości zaspokajania potrzeb mieszkańców w zakresie usług opiekuńczych i asystenckich (w tym realizowanych w ramach pozyskanego grantu zewnętrznego „Premia społeczna”), w dokumencie przewidziano możliwość zawierania umów wieloletnich, z zachowaniem zasad uczciwej konkurencji i równego traktowania wykonawców.</w:t>
      </w:r>
    </w:p>
    <w:p>
      <w:pPr>
        <w:pStyle w:val="Normal"/>
        <w:keepNext w:val="false"/>
        <w:keepLines w:val="false"/>
        <w:widowControl/>
        <w:suppressLineNumbers w:val="0"/>
        <w:shd w:val="clear" w:color="auto" w:fill="auto"/>
        <w:suppressAutoHyphens w:val="false"/>
        <w:spacing w:lineRule="auto" w:line="240" w:beforeAutospacing="0" w:before="120" w:afterAutospacing="0" w:after="120"/>
        <w:ind w:firstLine="227" w:left="283" w:right="0"/>
        <w:rPr>
          <w:szCs w:val="20"/>
        </w:rPr>
      </w:pPr>
      <w:r>
        <w:rPr>
          <w:szCs w:val="20"/>
        </w:rPr>
        <w:t>Projekt dokumentu został poddany procedurze konsultacji społecznych z organizacjami pozarządowymi w trybie określonym stosowną uchwałą Rady Gminy Kostomłoty.</w:t>
      </w:r>
    </w:p>
    <w:p>
      <w:pPr>
        <w:pStyle w:val="Normal"/>
        <w:keepNext w:val="false"/>
        <w:keepLines w:val="false"/>
        <w:widowControl/>
        <w:suppressLineNumbers w:val="0"/>
        <w:shd w:val="clear" w:color="auto" w:fill="auto"/>
        <w:suppressAutoHyphens w:val="false"/>
        <w:spacing w:lineRule="auto" w:line="240" w:beforeAutospacing="0" w:before="120" w:afterAutospacing="0" w:after="120"/>
        <w:ind w:firstLine="227" w:left="283" w:right="0"/>
        <w:rPr>
          <w:szCs w:val="20"/>
        </w:rPr>
      </w:pPr>
      <w:r>
        <w:rPr>
          <w:szCs w:val="20"/>
        </w:rPr>
        <w:t>Wobec dopełnienia wymogów formalno-prawnych, podjęcie niniejszej uchwały jest uzasadnione.</w:t>
      </w:r>
    </w:p>
    <w:sectPr>
      <w:footerReference w:type="even" r:id="rId8"/>
      <w:footerReference w:type="default" r:id="rId9"/>
      <w:footerReference w:type="first" r:id="rId10"/>
      <w:type w:val="nextPage"/>
      <w:pgSz w:w="11906" w:h="16838"/>
      <w:pgMar w:left="1020" w:right="1020" w:gutter="0" w:header="0" w:top="992" w:footer="708" w:bottom="992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0" w:type="dxa"/>
      <w:tblLayout w:type="fixed"/>
      <w:tblCellMar>
        <w:top w:w="100" w:type="dxa"/>
        <w:left w:w="0" w:type="dxa"/>
        <w:bottom w:w="0" w:type="dxa"/>
        <w:right w:w="0" w:type="dxa"/>
      </w:tblCellMar>
    </w:tblPr>
    <w:tblGrid>
      <w:gridCol w:w="6576"/>
      <w:gridCol w:w="3290"/>
    </w:tblGrid>
    <w:tr>
      <w:trPr/>
      <w:tc>
        <w:tcPr>
          <w:tcW w:w="6576" w:type="dxa"/>
          <w:tcBorders>
            <w:top w:val="single" w:sz="4" w:space="0" w:color="000000"/>
          </w:tcBorders>
        </w:tcPr>
        <w:p>
          <w:pPr>
            <w:pStyle w:val="Normal"/>
            <w:jc w:val="left"/>
            <w:rPr>
              <w:rFonts w:ascii="Times New Roman" w:hAnsi="Times New Roman" w:eastAsia="Times New Roman" w:cs="Times New Roman"/>
              <w:b w:val="false"/>
              <w:sz w:val="18"/>
            </w:rPr>
          </w:pPr>
          <w:r>
            <w:rPr>
              <w:rFonts w:eastAsia="Times New Roman" w:cs="Times New Roman"/>
              <w:b w:val="false"/>
              <w:sz w:val="18"/>
            </w:rPr>
            <w:t>Id: 79BFDEBF-0E87-4BF8-A111-EEB6F4A21BA0. Projekt</w:t>
          </w:r>
        </w:p>
      </w:tc>
      <w:tc>
        <w:tcPr>
          <w:tcW w:w="3290" w:type="dxa"/>
          <w:tcBorders>
            <w:top w:val="single" w:sz="4" w:space="0" w:color="000000"/>
          </w:tcBorders>
        </w:tcPr>
        <w:p>
          <w:pPr>
            <w:pStyle w:val="Normal"/>
            <w:jc w:val="right"/>
            <w:rPr>
              <w:rFonts w:ascii="Times New Roman" w:hAnsi="Times New Roman" w:eastAsia="Times New Roman" w:cs="Times New Roman"/>
              <w:b w:val="false"/>
              <w:sz w:val="18"/>
            </w:rPr>
          </w:pPr>
          <w:r>
            <w:rPr>
              <w:rFonts w:eastAsia="Times New Roman" w:cs="Times New Roman"/>
              <w:b w:val="false"/>
              <w:sz w:val="18"/>
            </w:rPr>
            <w:t xml:space="preserve">Strona </w:t>
          </w:r>
          <w:r>
            <w:rPr>
              <w:rFonts w:eastAsia="Times New Roman" w:cs="Times New Roman"/>
              <w:b w:val="false"/>
              <w:sz w:val="18"/>
            </w:rPr>
            <w:fldChar w:fldCharType="begin"/>
          </w:r>
          <w:r>
            <w:rPr>
              <w:rFonts w:eastAsia="Times New Roman" w:cs="Times New Roman"/>
              <w:b w:val="false"/>
              <w:sz w:val="18"/>
            </w:rPr>
            <w:instrText xml:space="preserve"> PAGE </w:instrText>
          </w:r>
          <w:r>
            <w:rPr>
              <w:rFonts w:eastAsia="Times New Roman" w:cs="Times New Roman"/>
              <w:b w:val="false"/>
              <w:sz w:val="18"/>
            </w:rPr>
            <w:fldChar w:fldCharType="separate"/>
          </w:r>
          <w:r>
            <w:rPr>
              <w:rFonts w:eastAsia="Times New Roman" w:cs="Times New Roman"/>
              <w:b w:val="false"/>
              <w:sz w:val="18"/>
            </w:rPr>
            <w:t>1</w:t>
          </w:r>
          <w:r>
            <w:rPr>
              <w:rFonts w:eastAsia="Times New Roman" w:cs="Times New Roman"/>
              <w:b w:val="false"/>
              <w:sz w:val="18"/>
            </w:rPr>
            <w:fldChar w:fldCharType="end"/>
          </w:r>
        </w:p>
      </w:tc>
    </w:tr>
  </w:tbl>
  <w:p>
    <w:pPr>
      <w:pStyle w:val="Normal"/>
      <w:rPr>
        <w:rFonts w:ascii="Times New Roman" w:hAnsi="Times New Roman" w:eastAsia="Times New Roman" w:cs="Times New Roman"/>
        <w:b w:val="false"/>
        <w:sz w:val="18"/>
      </w:rPr>
    </w:pPr>
    <w:r>
      <w:rPr>
        <w:rFonts w:eastAsia="Times New Roman" w:cs="Times New Roman"/>
        <w:b w:val="false"/>
        <w:sz w:val="18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0" w:type="dxa"/>
      <w:tblLayout w:type="fixed"/>
      <w:tblCellMar>
        <w:top w:w="100" w:type="dxa"/>
        <w:left w:w="0" w:type="dxa"/>
        <w:bottom w:w="0" w:type="dxa"/>
        <w:right w:w="0" w:type="dxa"/>
      </w:tblCellMar>
    </w:tblPr>
    <w:tblGrid>
      <w:gridCol w:w="6576"/>
      <w:gridCol w:w="3290"/>
    </w:tblGrid>
    <w:tr>
      <w:trPr/>
      <w:tc>
        <w:tcPr>
          <w:tcW w:w="6576" w:type="dxa"/>
          <w:tcBorders>
            <w:top w:val="single" w:sz="4" w:space="0" w:color="000000"/>
          </w:tcBorders>
        </w:tcPr>
        <w:p>
          <w:pPr>
            <w:pStyle w:val="Normal"/>
            <w:jc w:val="left"/>
            <w:rPr>
              <w:rFonts w:ascii="Times New Roman" w:hAnsi="Times New Roman" w:eastAsia="Times New Roman" w:cs="Times New Roman"/>
              <w:b w:val="false"/>
              <w:sz w:val="18"/>
            </w:rPr>
          </w:pPr>
          <w:r>
            <w:rPr>
              <w:rFonts w:eastAsia="Times New Roman" w:cs="Times New Roman"/>
              <w:b w:val="false"/>
              <w:sz w:val="18"/>
            </w:rPr>
            <w:t>Id: 79BFDEBF-0E87-4BF8-A111-EEB6F4A21BA0. Projekt</w:t>
          </w:r>
        </w:p>
      </w:tc>
      <w:tc>
        <w:tcPr>
          <w:tcW w:w="3290" w:type="dxa"/>
          <w:tcBorders>
            <w:top w:val="single" w:sz="4" w:space="0" w:color="000000"/>
          </w:tcBorders>
        </w:tcPr>
        <w:p>
          <w:pPr>
            <w:pStyle w:val="Normal"/>
            <w:jc w:val="right"/>
            <w:rPr>
              <w:rFonts w:ascii="Times New Roman" w:hAnsi="Times New Roman" w:eastAsia="Times New Roman" w:cs="Times New Roman"/>
              <w:b w:val="false"/>
              <w:sz w:val="18"/>
            </w:rPr>
          </w:pPr>
          <w:r>
            <w:rPr>
              <w:rFonts w:eastAsia="Times New Roman" w:cs="Times New Roman"/>
              <w:b w:val="false"/>
              <w:sz w:val="18"/>
            </w:rPr>
            <w:t xml:space="preserve">Strona </w:t>
          </w:r>
          <w:r>
            <w:rPr>
              <w:rFonts w:eastAsia="Times New Roman" w:cs="Times New Roman"/>
              <w:b w:val="false"/>
              <w:sz w:val="18"/>
            </w:rPr>
            <w:fldChar w:fldCharType="begin"/>
          </w:r>
          <w:r>
            <w:rPr>
              <w:rFonts w:eastAsia="Times New Roman" w:cs="Times New Roman"/>
              <w:b w:val="false"/>
              <w:sz w:val="18"/>
            </w:rPr>
            <w:instrText xml:space="preserve"> PAGE </w:instrText>
          </w:r>
          <w:r>
            <w:rPr>
              <w:rFonts w:eastAsia="Times New Roman" w:cs="Times New Roman"/>
              <w:b w:val="false"/>
              <w:sz w:val="18"/>
            </w:rPr>
            <w:fldChar w:fldCharType="separate"/>
          </w:r>
          <w:r>
            <w:rPr>
              <w:rFonts w:eastAsia="Times New Roman" w:cs="Times New Roman"/>
              <w:b w:val="false"/>
              <w:sz w:val="18"/>
            </w:rPr>
            <w:t>1</w:t>
          </w:r>
          <w:r>
            <w:rPr>
              <w:rFonts w:eastAsia="Times New Roman" w:cs="Times New Roman"/>
              <w:b w:val="false"/>
              <w:sz w:val="18"/>
            </w:rPr>
            <w:fldChar w:fldCharType="end"/>
          </w:r>
        </w:p>
      </w:tc>
    </w:tr>
  </w:tbl>
  <w:p>
    <w:pPr>
      <w:pStyle w:val="Normal"/>
      <w:rPr>
        <w:rFonts w:ascii="Times New Roman" w:hAnsi="Times New Roman" w:eastAsia="Times New Roman" w:cs="Times New Roman"/>
        <w:b w:val="false"/>
        <w:sz w:val="18"/>
      </w:rPr>
    </w:pPr>
    <w:r>
      <w:rPr>
        <w:rFonts w:eastAsia="Times New Roman" w:cs="Times New Roman"/>
        <w:b w:val="false"/>
        <w:sz w:val="18"/>
      </w:rPr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0" w:type="dxa"/>
      <w:tblLayout w:type="fixed"/>
      <w:tblCellMar>
        <w:top w:w="100" w:type="dxa"/>
        <w:left w:w="0" w:type="dxa"/>
        <w:bottom w:w="0" w:type="dxa"/>
        <w:right w:w="0" w:type="dxa"/>
      </w:tblCellMar>
    </w:tblPr>
    <w:tblGrid>
      <w:gridCol w:w="6576"/>
      <w:gridCol w:w="3290"/>
    </w:tblGrid>
    <w:tr>
      <w:trPr/>
      <w:tc>
        <w:tcPr>
          <w:tcW w:w="6576" w:type="dxa"/>
          <w:tcBorders>
            <w:top w:val="single" w:sz="4" w:space="0" w:color="000000"/>
          </w:tcBorders>
        </w:tcPr>
        <w:p>
          <w:pPr>
            <w:pStyle w:val="Normal"/>
            <w:jc w:val="left"/>
            <w:rPr>
              <w:rFonts w:ascii="Times New Roman" w:hAnsi="Times New Roman" w:eastAsia="Times New Roman" w:cs="Times New Roman"/>
              <w:b w:val="false"/>
              <w:sz w:val="18"/>
            </w:rPr>
          </w:pPr>
          <w:r>
            <w:rPr>
              <w:rFonts w:eastAsia="Times New Roman" w:cs="Times New Roman"/>
              <w:b w:val="false"/>
              <w:sz w:val="18"/>
            </w:rPr>
            <w:t>Id: 79BFDEBF-0E87-4BF8-A111-EEB6F4A21BA0. Projekt</w:t>
          </w:r>
        </w:p>
      </w:tc>
      <w:tc>
        <w:tcPr>
          <w:tcW w:w="3290" w:type="dxa"/>
          <w:tcBorders>
            <w:top w:val="single" w:sz="4" w:space="0" w:color="000000"/>
          </w:tcBorders>
        </w:tcPr>
        <w:p>
          <w:pPr>
            <w:pStyle w:val="Normal"/>
            <w:jc w:val="right"/>
            <w:rPr>
              <w:rFonts w:ascii="Times New Roman" w:hAnsi="Times New Roman" w:eastAsia="Times New Roman" w:cs="Times New Roman"/>
              <w:b w:val="false"/>
              <w:sz w:val="18"/>
            </w:rPr>
          </w:pPr>
          <w:r>
            <w:rPr>
              <w:rFonts w:eastAsia="Times New Roman" w:cs="Times New Roman"/>
              <w:b w:val="false"/>
              <w:sz w:val="18"/>
            </w:rPr>
            <w:t xml:space="preserve">Strona </w:t>
          </w:r>
          <w:r>
            <w:rPr>
              <w:rFonts w:eastAsia="Times New Roman" w:cs="Times New Roman"/>
              <w:b w:val="false"/>
              <w:sz w:val="18"/>
            </w:rPr>
            <w:fldChar w:fldCharType="begin"/>
          </w:r>
          <w:r>
            <w:rPr>
              <w:rFonts w:eastAsia="Times New Roman" w:cs="Times New Roman"/>
              <w:b w:val="false"/>
              <w:sz w:val="18"/>
            </w:rPr>
            <w:instrText xml:space="preserve"> PAGE </w:instrText>
          </w:r>
          <w:r>
            <w:rPr>
              <w:rFonts w:eastAsia="Times New Roman" w:cs="Times New Roman"/>
              <w:b w:val="false"/>
              <w:sz w:val="18"/>
            </w:rPr>
            <w:fldChar w:fldCharType="separate"/>
          </w:r>
          <w:r>
            <w:rPr>
              <w:rFonts w:eastAsia="Times New Roman" w:cs="Times New Roman"/>
              <w:b w:val="false"/>
              <w:sz w:val="18"/>
            </w:rPr>
            <w:t>4</w:t>
          </w:r>
          <w:r>
            <w:rPr>
              <w:rFonts w:eastAsia="Times New Roman" w:cs="Times New Roman"/>
              <w:b w:val="false"/>
              <w:sz w:val="18"/>
            </w:rPr>
            <w:fldChar w:fldCharType="end"/>
          </w:r>
        </w:p>
      </w:tc>
    </w:tr>
  </w:tbl>
  <w:p>
    <w:pPr>
      <w:pStyle w:val="Normal"/>
      <w:rPr>
        <w:rFonts w:ascii="Times New Roman" w:hAnsi="Times New Roman" w:eastAsia="Times New Roman" w:cs="Times New Roman"/>
        <w:b w:val="false"/>
        <w:sz w:val="18"/>
      </w:rPr>
    </w:pPr>
    <w:r>
      <w:rPr>
        <w:rFonts w:eastAsia="Times New Roman" w:cs="Times New Roman"/>
        <w:b w:val="false"/>
        <w:sz w:val="18"/>
      </w:rPr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0" w:type="dxa"/>
      <w:tblLayout w:type="fixed"/>
      <w:tblCellMar>
        <w:top w:w="100" w:type="dxa"/>
        <w:left w:w="0" w:type="dxa"/>
        <w:bottom w:w="0" w:type="dxa"/>
        <w:right w:w="0" w:type="dxa"/>
      </w:tblCellMar>
    </w:tblPr>
    <w:tblGrid>
      <w:gridCol w:w="6576"/>
      <w:gridCol w:w="3290"/>
    </w:tblGrid>
    <w:tr>
      <w:trPr/>
      <w:tc>
        <w:tcPr>
          <w:tcW w:w="6576" w:type="dxa"/>
          <w:tcBorders>
            <w:top w:val="single" w:sz="4" w:space="0" w:color="000000"/>
          </w:tcBorders>
        </w:tcPr>
        <w:p>
          <w:pPr>
            <w:pStyle w:val="Normal"/>
            <w:jc w:val="left"/>
            <w:rPr>
              <w:rFonts w:ascii="Times New Roman" w:hAnsi="Times New Roman" w:eastAsia="Times New Roman" w:cs="Times New Roman"/>
              <w:b w:val="false"/>
              <w:sz w:val="18"/>
            </w:rPr>
          </w:pPr>
          <w:r>
            <w:rPr>
              <w:rFonts w:eastAsia="Times New Roman" w:cs="Times New Roman"/>
              <w:b w:val="false"/>
              <w:sz w:val="18"/>
            </w:rPr>
            <w:t>Id: 79BFDEBF-0E87-4BF8-A111-EEB6F4A21BA0. Projekt</w:t>
          </w:r>
        </w:p>
      </w:tc>
      <w:tc>
        <w:tcPr>
          <w:tcW w:w="3290" w:type="dxa"/>
          <w:tcBorders>
            <w:top w:val="single" w:sz="4" w:space="0" w:color="000000"/>
          </w:tcBorders>
        </w:tcPr>
        <w:p>
          <w:pPr>
            <w:pStyle w:val="Normal"/>
            <w:jc w:val="right"/>
            <w:rPr>
              <w:rFonts w:ascii="Times New Roman" w:hAnsi="Times New Roman" w:eastAsia="Times New Roman" w:cs="Times New Roman"/>
              <w:b w:val="false"/>
              <w:sz w:val="18"/>
            </w:rPr>
          </w:pPr>
          <w:r>
            <w:rPr>
              <w:rFonts w:eastAsia="Times New Roman" w:cs="Times New Roman"/>
              <w:b w:val="false"/>
              <w:sz w:val="18"/>
            </w:rPr>
            <w:t xml:space="preserve">Strona </w:t>
          </w:r>
          <w:r>
            <w:rPr>
              <w:rFonts w:eastAsia="Times New Roman" w:cs="Times New Roman"/>
              <w:b w:val="false"/>
              <w:sz w:val="18"/>
            </w:rPr>
            <w:fldChar w:fldCharType="begin"/>
          </w:r>
          <w:r>
            <w:rPr>
              <w:rFonts w:eastAsia="Times New Roman" w:cs="Times New Roman"/>
              <w:b w:val="false"/>
              <w:sz w:val="18"/>
            </w:rPr>
            <w:instrText xml:space="preserve"> PAGE </w:instrText>
          </w:r>
          <w:r>
            <w:rPr>
              <w:rFonts w:eastAsia="Times New Roman" w:cs="Times New Roman"/>
              <w:b w:val="false"/>
              <w:sz w:val="18"/>
            </w:rPr>
            <w:fldChar w:fldCharType="separate"/>
          </w:r>
          <w:r>
            <w:rPr>
              <w:rFonts w:eastAsia="Times New Roman" w:cs="Times New Roman"/>
              <w:b w:val="false"/>
              <w:sz w:val="18"/>
            </w:rPr>
            <w:t>4</w:t>
          </w:r>
          <w:r>
            <w:rPr>
              <w:rFonts w:eastAsia="Times New Roman" w:cs="Times New Roman"/>
              <w:b w:val="false"/>
              <w:sz w:val="18"/>
            </w:rPr>
            <w:fldChar w:fldCharType="end"/>
          </w:r>
        </w:p>
      </w:tc>
    </w:tr>
  </w:tbl>
  <w:p>
    <w:pPr>
      <w:pStyle w:val="Normal"/>
      <w:rPr>
        <w:rFonts w:ascii="Times New Roman" w:hAnsi="Times New Roman" w:eastAsia="Times New Roman" w:cs="Times New Roman"/>
        <w:b w:val="false"/>
        <w:sz w:val="18"/>
      </w:rPr>
    </w:pPr>
    <w:r>
      <w:rPr>
        <w:rFonts w:eastAsia="Times New Roman" w:cs="Times New Roman"/>
        <w:b w:val="false"/>
        <w:sz w:val="18"/>
      </w:rPr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0" w:type="dxa"/>
      <w:tblLayout w:type="fixed"/>
      <w:tblCellMar>
        <w:top w:w="100" w:type="dxa"/>
        <w:left w:w="0" w:type="dxa"/>
        <w:bottom w:w="0" w:type="dxa"/>
        <w:right w:w="0" w:type="dxa"/>
      </w:tblCellMar>
    </w:tblPr>
    <w:tblGrid>
      <w:gridCol w:w="6576"/>
      <w:gridCol w:w="3290"/>
    </w:tblGrid>
    <w:tr>
      <w:trPr/>
      <w:tc>
        <w:tcPr>
          <w:tcW w:w="6576" w:type="dxa"/>
          <w:tcBorders>
            <w:top w:val="single" w:sz="4" w:space="0" w:color="000000"/>
          </w:tcBorders>
        </w:tcPr>
        <w:p>
          <w:pPr>
            <w:pStyle w:val="Normal"/>
            <w:jc w:val="left"/>
            <w:rPr>
              <w:rFonts w:ascii="Times New Roman" w:hAnsi="Times New Roman" w:eastAsia="Times New Roman" w:cs="Times New Roman"/>
              <w:b w:val="false"/>
              <w:sz w:val="18"/>
            </w:rPr>
          </w:pPr>
          <w:r>
            <w:rPr>
              <w:rFonts w:eastAsia="Times New Roman" w:cs="Times New Roman"/>
              <w:b w:val="false"/>
              <w:sz w:val="18"/>
            </w:rPr>
            <w:t>Id: 79BFDEBF-0E87-4BF8-A111-EEB6F4A21BA0. Projekt</w:t>
          </w:r>
        </w:p>
      </w:tc>
      <w:tc>
        <w:tcPr>
          <w:tcW w:w="3290" w:type="dxa"/>
          <w:tcBorders>
            <w:top w:val="single" w:sz="4" w:space="0" w:color="000000"/>
          </w:tcBorders>
        </w:tcPr>
        <w:p>
          <w:pPr>
            <w:pStyle w:val="Normal"/>
            <w:jc w:val="right"/>
            <w:rPr>
              <w:rFonts w:ascii="Times New Roman" w:hAnsi="Times New Roman" w:eastAsia="Times New Roman" w:cs="Times New Roman"/>
              <w:b w:val="false"/>
              <w:sz w:val="18"/>
            </w:rPr>
          </w:pPr>
          <w:r>
            <w:rPr>
              <w:rFonts w:eastAsia="Times New Roman" w:cs="Times New Roman"/>
              <w:b w:val="false"/>
              <w:sz w:val="18"/>
            </w:rPr>
            <w:t xml:space="preserve">Strona </w:t>
          </w:r>
          <w:r>
            <w:rPr>
              <w:rFonts w:eastAsia="Times New Roman" w:cs="Times New Roman"/>
              <w:b w:val="false"/>
              <w:sz w:val="18"/>
            </w:rPr>
            <w:fldChar w:fldCharType="begin"/>
          </w:r>
          <w:r>
            <w:rPr>
              <w:rFonts w:eastAsia="Times New Roman" w:cs="Times New Roman"/>
              <w:b w:val="false"/>
              <w:sz w:val="18"/>
            </w:rPr>
            <w:instrText xml:space="preserve"> PAGE </w:instrText>
          </w:r>
          <w:r>
            <w:rPr>
              <w:rFonts w:eastAsia="Times New Roman" w:cs="Times New Roman"/>
              <w:b w:val="false"/>
              <w:sz w:val="18"/>
            </w:rPr>
            <w:fldChar w:fldCharType="separate"/>
          </w:r>
          <w:r>
            <w:rPr>
              <w:rFonts w:eastAsia="Times New Roman" w:cs="Times New Roman"/>
              <w:b w:val="false"/>
              <w:sz w:val="18"/>
            </w:rPr>
            <w:t>5</w:t>
          </w:r>
          <w:r>
            <w:rPr>
              <w:rFonts w:eastAsia="Times New Roman" w:cs="Times New Roman"/>
              <w:b w:val="false"/>
              <w:sz w:val="18"/>
            </w:rPr>
            <w:fldChar w:fldCharType="end"/>
          </w:r>
        </w:p>
      </w:tc>
    </w:tr>
  </w:tbl>
  <w:p>
    <w:pPr>
      <w:pStyle w:val="Normal"/>
      <w:rPr>
        <w:rFonts w:ascii="Times New Roman" w:hAnsi="Times New Roman" w:eastAsia="Times New Roman" w:cs="Times New Roman"/>
        <w:b w:val="false"/>
        <w:sz w:val="18"/>
      </w:rPr>
    </w:pPr>
    <w:r>
      <w:rPr>
        <w:rFonts w:eastAsia="Times New Roman" w:cs="Times New Roman"/>
        <w:b w:val="false"/>
        <w:sz w:val="18"/>
      </w:rPr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0" w:type="dxa"/>
      <w:tblLayout w:type="fixed"/>
      <w:tblCellMar>
        <w:top w:w="100" w:type="dxa"/>
        <w:left w:w="0" w:type="dxa"/>
        <w:bottom w:w="0" w:type="dxa"/>
        <w:right w:w="0" w:type="dxa"/>
      </w:tblCellMar>
    </w:tblPr>
    <w:tblGrid>
      <w:gridCol w:w="6576"/>
      <w:gridCol w:w="3290"/>
    </w:tblGrid>
    <w:tr>
      <w:trPr/>
      <w:tc>
        <w:tcPr>
          <w:tcW w:w="6576" w:type="dxa"/>
          <w:tcBorders>
            <w:top w:val="single" w:sz="4" w:space="0" w:color="000000"/>
          </w:tcBorders>
        </w:tcPr>
        <w:p>
          <w:pPr>
            <w:pStyle w:val="Normal"/>
            <w:jc w:val="left"/>
            <w:rPr>
              <w:rFonts w:ascii="Times New Roman" w:hAnsi="Times New Roman" w:eastAsia="Times New Roman" w:cs="Times New Roman"/>
              <w:b w:val="false"/>
              <w:sz w:val="18"/>
            </w:rPr>
          </w:pPr>
          <w:r>
            <w:rPr>
              <w:rFonts w:eastAsia="Times New Roman" w:cs="Times New Roman"/>
              <w:b w:val="false"/>
              <w:sz w:val="18"/>
            </w:rPr>
            <w:t>Id: 79BFDEBF-0E87-4BF8-A111-EEB6F4A21BA0. Projekt</w:t>
          </w:r>
        </w:p>
      </w:tc>
      <w:tc>
        <w:tcPr>
          <w:tcW w:w="3290" w:type="dxa"/>
          <w:tcBorders>
            <w:top w:val="single" w:sz="4" w:space="0" w:color="000000"/>
          </w:tcBorders>
        </w:tcPr>
        <w:p>
          <w:pPr>
            <w:pStyle w:val="Normal"/>
            <w:jc w:val="right"/>
            <w:rPr>
              <w:rFonts w:ascii="Times New Roman" w:hAnsi="Times New Roman" w:eastAsia="Times New Roman" w:cs="Times New Roman"/>
              <w:b w:val="false"/>
              <w:sz w:val="18"/>
            </w:rPr>
          </w:pPr>
          <w:r>
            <w:rPr>
              <w:rFonts w:eastAsia="Times New Roman" w:cs="Times New Roman"/>
              <w:b w:val="false"/>
              <w:sz w:val="18"/>
            </w:rPr>
            <w:t xml:space="preserve">Strona </w:t>
          </w:r>
          <w:r>
            <w:rPr>
              <w:rFonts w:eastAsia="Times New Roman" w:cs="Times New Roman"/>
              <w:b w:val="false"/>
              <w:sz w:val="18"/>
            </w:rPr>
            <w:fldChar w:fldCharType="begin"/>
          </w:r>
          <w:r>
            <w:rPr>
              <w:rFonts w:eastAsia="Times New Roman" w:cs="Times New Roman"/>
              <w:b w:val="false"/>
              <w:sz w:val="18"/>
            </w:rPr>
            <w:instrText xml:space="preserve"> PAGE </w:instrText>
          </w:r>
          <w:r>
            <w:rPr>
              <w:rFonts w:eastAsia="Times New Roman" w:cs="Times New Roman"/>
              <w:b w:val="false"/>
              <w:sz w:val="18"/>
            </w:rPr>
            <w:fldChar w:fldCharType="separate"/>
          </w:r>
          <w:r>
            <w:rPr>
              <w:rFonts w:eastAsia="Times New Roman" w:cs="Times New Roman"/>
              <w:b w:val="false"/>
              <w:sz w:val="18"/>
            </w:rPr>
            <w:t>5</w:t>
          </w:r>
          <w:r>
            <w:rPr>
              <w:rFonts w:eastAsia="Times New Roman" w:cs="Times New Roman"/>
              <w:b w:val="false"/>
              <w:sz w:val="18"/>
            </w:rPr>
            <w:fldChar w:fldCharType="end"/>
          </w:r>
        </w:p>
      </w:tc>
    </w:tr>
  </w:tbl>
  <w:p>
    <w:pPr>
      <w:pStyle w:val="Normal"/>
      <w:rPr>
        <w:rFonts w:ascii="Times New Roman" w:hAnsi="Times New Roman" w:eastAsia="Times New Roman" w:cs="Times New Roman"/>
        <w:b w:val="false"/>
        <w:sz w:val="18"/>
      </w:rPr>
    </w:pPr>
    <w:r>
      <w:rPr>
        <w:rFonts w:eastAsia="Times New Roman" w:cs="Times New Roman"/>
        <w:b w:val="false"/>
        <w:sz w:val="18"/>
      </w:rPr>
    </w:r>
  </w:p>
</w:ftr>
</file>

<file path=word/settings.xml><?xml version="1.0" encoding="utf-8"?>
<w:settings xmlns:w="http://schemas.openxmlformats.org/wordprocessingml/2006/main">
  <w:zoom w:percent="100"/>
  <w:stylePaneFormatFilter w:val="3F01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pl-PL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spacing w:before="0" w:after="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4"/>
      <w:lang w:val="pl-PL" w:eastAsia="pl-PL" w:bidi="pl-PL"/>
    </w:rPr>
  </w:style>
  <w:style w:type="character" w:styleId="DefaultParagraphFont" w:default="1">
    <w:name w:val="Default Paragraph Font"/>
    <w:semiHidden/>
    <w:rPr>
      <w:lang w:val="pl-PL" w:eastAsia="pl-PL" w:bidi="pl-PL"/>
    </w:rPr>
  </w:style>
  <w:style w:type="character" w:styleId="Znakiprzypiswkocowych">
    <w:name w:val="Znaki przypisów końcowych"/>
    <w:rPr/>
  </w:style>
  <w:style w:type="paragraph" w:styleId="Nagwek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Lucida Sans"/>
    </w:rPr>
  </w:style>
  <w:style w:type="paragraph" w:styleId="Gwkaistopka">
    <w:name w:val="Główka i stopka"/>
    <w:basedOn w:val="Normal"/>
    <w:pPr/>
    <w:rPr/>
  </w:style>
  <w:style w:type="paragraph" w:styleId="Footer">
    <w:name w:val="footer"/>
    <w:basedOn w:val="Gwkaistopka"/>
    <w:pPr/>
    <w:rPr/>
  </w:style>
  <w:style w:type="numbering" w:styleId="Bezlisty" w:default="1">
    <w:name w:val="Bez listy"/>
    <w:semiHidden/>
  </w:style>
  <w:style w:type="table" w:default="1" w:styleId="TableNormal">
    <w:name w:val="Normal Table"/>
    <w:semiHidden/>
    <w:rPr>
      <w:lang w:val="pl-PL" w:eastAsia="pl-PL" w:bidi="pl-PL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oter" Target="footer7.xml"/><Relationship Id="rId9" Type="http://schemas.openxmlformats.org/officeDocument/2006/relationships/footer" Target="footer8.xml"/><Relationship Id="rId10" Type="http://schemas.openxmlformats.org/officeDocument/2006/relationships/footer" Target="footer9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</TotalTime>
  <Application>LibreOffice/26.8.1.1$Windows_X86_64 LibreOffice_project/bf6ef2662401c7d6dce671ab4deb26ee0af3a7c1</Application>
  <AppVersion>15.0000</AppVersion>
  <Pages>7</Pages>
  <Words>1671</Words>
  <Characters>10997</Characters>
  <CharactersWithSpaces>12587</CharactersWithSpaces>
  <Paragraphs>99</Paragraphs>
  <Company>Rada Gminy Kostomłoty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Akt prawny</cp:category>
  <dcterms:created xsi:type="dcterms:W3CDTF">2026-10-20T08:58:31Z</dcterms:created>
  <dc:creator>Sabina</dc:creator>
  <dc:description/>
  <dc:language>pl-PL</dc:language>
  <cp:lastModifiedBy/>
  <dcterms:modified xsi:type="dcterms:W3CDTF">2026-10-20T09:00:11Z</dcterms:modified>
  <cp:revision>2</cp:revision>
  <dc:subject>w sprawie przyjęcia Programu współpracy Gminy Kostomłoty z^organizacjami pozarządowymi oraz podmiotami wymienionymi w^art.^3^ust.^3^ustawy o^działalności pożytku publicznego i^o^wolontariacie na rok 2027</dc:subject>
  <dc:title>Uchwała z dnia 20 października 2026 r.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